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F6F" w:rsidRPr="005751EC" w:rsidRDefault="005751EC" w:rsidP="00C71BC5">
      <w:pPr>
        <w:pStyle w:val="a3"/>
        <w:shd w:val="clear" w:color="auto" w:fill="FFFFFF"/>
        <w:spacing w:before="0" w:beforeAutospacing="0" w:after="0" w:afterAutospacing="0" w:line="500" w:lineRule="exact"/>
        <w:jc w:val="center"/>
        <w:rPr>
          <w:rFonts w:ascii="微软雅黑" w:eastAsia="微软雅黑" w:hAnsi="微软雅黑"/>
          <w:b/>
          <w:bCs/>
          <w:color w:val="002060"/>
          <w:sz w:val="40"/>
          <w:szCs w:val="40"/>
          <w:bdr w:val="none" w:sz="0" w:space="0" w:color="auto" w:frame="1"/>
        </w:rPr>
      </w:pPr>
      <w:r w:rsidRPr="005751EC">
        <w:rPr>
          <w:rFonts w:ascii="微软雅黑" w:eastAsia="微软雅黑" w:hAnsi="微软雅黑" w:hint="eastAsia"/>
          <w:b/>
          <w:bCs/>
          <w:color w:val="002060"/>
          <w:sz w:val="40"/>
          <w:szCs w:val="40"/>
          <w:bdr w:val="none" w:sz="0" w:space="0" w:color="auto" w:frame="1"/>
        </w:rPr>
        <w:t>【</w:t>
      </w:r>
      <w:r w:rsidR="00315F6F" w:rsidRPr="005751EC">
        <w:rPr>
          <w:rFonts w:ascii="微软雅黑" w:eastAsia="微软雅黑" w:hAnsi="微软雅黑" w:hint="eastAsia"/>
          <w:b/>
          <w:bCs/>
          <w:color w:val="002060"/>
          <w:sz w:val="40"/>
          <w:szCs w:val="40"/>
          <w:bdr w:val="none" w:sz="0" w:space="0" w:color="auto" w:frame="1"/>
        </w:rPr>
        <w:t>广告市场个人所得税征收管理暂行办法</w:t>
      </w:r>
      <w:r w:rsidRPr="005751EC">
        <w:rPr>
          <w:rFonts w:ascii="微软雅黑" w:eastAsia="微软雅黑" w:hAnsi="微软雅黑" w:hint="eastAsia"/>
          <w:b/>
          <w:bCs/>
          <w:color w:val="002060"/>
          <w:sz w:val="40"/>
          <w:szCs w:val="40"/>
          <w:bdr w:val="none" w:sz="0" w:space="0" w:color="auto" w:frame="1"/>
        </w:rPr>
        <w:t>】</w:t>
      </w:r>
    </w:p>
    <w:p w:rsidR="00C71BC5" w:rsidRDefault="00C71BC5" w:rsidP="00C71BC5">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C71BC5" w:rsidRPr="00C71BC5" w:rsidRDefault="00C71BC5" w:rsidP="005751EC">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C71BC5">
        <w:rPr>
          <w:rFonts w:ascii="微软雅黑" w:eastAsia="微软雅黑" w:hAnsi="微软雅黑" w:hint="eastAsia"/>
          <w:color w:val="333333"/>
          <w:sz w:val="22"/>
          <w:szCs w:val="22"/>
          <w:bdr w:val="none" w:sz="0" w:space="0" w:color="auto" w:frame="1"/>
        </w:rPr>
        <w:t>2</w:t>
      </w:r>
      <w:r w:rsidRPr="00C71BC5">
        <w:rPr>
          <w:rFonts w:ascii="微软雅黑" w:eastAsia="微软雅黑" w:hAnsi="微软雅黑"/>
          <w:color w:val="333333"/>
          <w:sz w:val="22"/>
          <w:szCs w:val="22"/>
          <w:bdr w:val="none" w:sz="0" w:space="0" w:color="auto" w:frame="1"/>
        </w:rPr>
        <w:t>018-06-15</w:t>
      </w:r>
    </w:p>
    <w:p w:rsidR="00C71BC5" w:rsidRPr="00C71BC5" w:rsidRDefault="00C71BC5" w:rsidP="00C71BC5">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315F6F" w:rsidRPr="00C71BC5" w:rsidRDefault="00315F6F" w:rsidP="00C71BC5">
      <w:pPr>
        <w:pStyle w:val="a3"/>
        <w:shd w:val="clear" w:color="auto" w:fill="FFFFFF"/>
        <w:spacing w:before="0" w:beforeAutospacing="0" w:after="0" w:afterAutospacing="0" w:line="240" w:lineRule="exact"/>
        <w:ind w:leftChars="200" w:left="420" w:rightChars="200" w:right="420" w:firstLineChars="200" w:firstLine="420"/>
        <w:rPr>
          <w:rFonts w:ascii="微软雅黑" w:eastAsia="微软雅黑" w:hAnsi="微软雅黑"/>
          <w:color w:val="333333"/>
          <w:sz w:val="21"/>
          <w:szCs w:val="21"/>
        </w:rPr>
      </w:pPr>
      <w:r w:rsidRPr="00C71BC5">
        <w:rPr>
          <w:rFonts w:ascii="微软雅黑" w:eastAsia="微软雅黑" w:hAnsi="微软雅黑" w:hint="eastAsia"/>
          <w:color w:val="333333"/>
          <w:sz w:val="21"/>
          <w:szCs w:val="21"/>
          <w:bdr w:val="none" w:sz="0" w:space="0" w:color="auto" w:frame="1"/>
        </w:rPr>
        <w:t>（1996年8月29日国税发第148号公布 自1996年9月1日起施行 根据2016年5月29日《国家税务总局关于公布全文废止和部分条款废止的税务部门规章目录的决定》国家税务总局令第40号第一次修正 根据2018年6月15日《国家税务总局关于修改部分税务部门规章的决定》国家税务总局令第44号第二次修正）</w:t>
      </w:r>
      <w:bookmarkStart w:id="0" w:name="_GoBack"/>
      <w:bookmarkEnd w:id="0"/>
    </w:p>
    <w:p w:rsidR="00315F6F" w:rsidRPr="00C71BC5" w:rsidRDefault="00315F6F" w:rsidP="00C71BC5">
      <w:pPr>
        <w:pStyle w:val="a3"/>
        <w:shd w:val="clear" w:color="auto" w:fill="FFFFFF"/>
        <w:spacing w:before="0" w:beforeAutospacing="0" w:after="0" w:afterAutospacing="0" w:line="280" w:lineRule="exact"/>
        <w:jc w:val="center"/>
        <w:rPr>
          <w:rFonts w:ascii="微软雅黑" w:eastAsia="微软雅黑" w:hAnsi="微软雅黑"/>
          <w:color w:val="333333"/>
        </w:rPr>
      </w:pP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751EC">
        <w:rPr>
          <w:rFonts w:ascii="微软雅黑" w:eastAsia="微软雅黑" w:hAnsi="微软雅黑" w:hint="eastAsia"/>
          <w:b/>
          <w:bCs/>
          <w:color w:val="333333"/>
          <w:bdr w:val="none" w:sz="0" w:space="0" w:color="auto" w:frame="1"/>
        </w:rPr>
        <w:t>第一条</w:t>
      </w:r>
      <w:r w:rsidRPr="00C71BC5">
        <w:rPr>
          <w:rFonts w:ascii="微软雅黑" w:eastAsia="微软雅黑" w:hAnsi="微软雅黑" w:hint="eastAsia"/>
          <w:color w:val="333333"/>
          <w:bdr w:val="none" w:sz="0" w:space="0" w:color="auto" w:frame="1"/>
        </w:rPr>
        <w:t xml:space="preserve">　为了进一步加强对广告市场个人所得税的征收管理，依据《中华人民共和国个人所得税法》及其实施条例和《中华人民共和国税收征收管理法》及其实施细则，制定本办法。</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751EC">
        <w:rPr>
          <w:rFonts w:ascii="微软雅黑" w:eastAsia="微软雅黑" w:hAnsi="微软雅黑" w:hint="eastAsia"/>
          <w:b/>
          <w:bCs/>
          <w:color w:val="333333"/>
          <w:bdr w:val="none" w:sz="0" w:space="0" w:color="auto" w:frame="1"/>
        </w:rPr>
        <w:t>第二条</w:t>
      </w:r>
      <w:r w:rsidRPr="00C71BC5">
        <w:rPr>
          <w:rFonts w:ascii="微软雅黑" w:eastAsia="微软雅黑" w:hAnsi="微软雅黑" w:hint="eastAsia"/>
          <w:color w:val="333333"/>
          <w:bdr w:val="none" w:sz="0" w:space="0" w:color="auto" w:frame="1"/>
        </w:rPr>
        <w:t xml:space="preserve">　凡在广告中提供名义、形象或在广告设计、制作、发布过程中提供劳务并取得所得的个人以及广告主、广告经营者或受托从事广告制作的单位和广告发布者，均应当依照本办法的规定办理个人所得</w:t>
      </w:r>
      <w:proofErr w:type="gramStart"/>
      <w:r w:rsidRPr="00C71BC5">
        <w:rPr>
          <w:rFonts w:ascii="微软雅黑" w:eastAsia="微软雅黑" w:hAnsi="微软雅黑" w:hint="eastAsia"/>
          <w:color w:val="333333"/>
          <w:bdr w:val="none" w:sz="0" w:space="0" w:color="auto" w:frame="1"/>
        </w:rPr>
        <w:t>税有关</w:t>
      </w:r>
      <w:proofErr w:type="gramEnd"/>
      <w:r w:rsidRPr="00C71BC5">
        <w:rPr>
          <w:rFonts w:ascii="微软雅黑" w:eastAsia="微软雅黑" w:hAnsi="微软雅黑" w:hint="eastAsia"/>
          <w:color w:val="333333"/>
          <w:bdr w:val="none" w:sz="0" w:space="0" w:color="auto" w:frame="1"/>
        </w:rPr>
        <w:t>事宜。</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71BC5">
        <w:rPr>
          <w:rFonts w:ascii="微软雅黑" w:eastAsia="微软雅黑" w:hAnsi="微软雅黑" w:hint="eastAsia"/>
          <w:color w:val="333333"/>
          <w:bdr w:val="none" w:sz="0" w:space="0" w:color="auto" w:frame="1"/>
        </w:rPr>
        <w:t>本办法所称广告主，是指为推销商品或者提供服务，自行或者委托他人设计、制作、发布广告的法人、其他经济组织或者个人。</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71BC5">
        <w:rPr>
          <w:rFonts w:ascii="微软雅黑" w:eastAsia="微软雅黑" w:hAnsi="微软雅黑" w:hint="eastAsia"/>
          <w:color w:val="333333"/>
          <w:bdr w:val="none" w:sz="0" w:space="0" w:color="auto" w:frame="1"/>
        </w:rPr>
        <w:t>本办法所称广告经营者，是指受委托提供广告设计、制作、代理服务的法人、其他经济组织或者个人。</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71BC5">
        <w:rPr>
          <w:rFonts w:ascii="微软雅黑" w:eastAsia="微软雅黑" w:hAnsi="微软雅黑" w:hint="eastAsia"/>
          <w:color w:val="333333"/>
          <w:bdr w:val="none" w:sz="0" w:space="0" w:color="auto" w:frame="1"/>
        </w:rPr>
        <w:t>本办法所称受托从事广告制作的单位，是指受广告主或广告经营者委托而从事广告设计、制作的法人、其他经济组织或者个人。</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71BC5">
        <w:rPr>
          <w:rFonts w:ascii="微软雅黑" w:eastAsia="微软雅黑" w:hAnsi="微软雅黑" w:hint="eastAsia"/>
          <w:color w:val="333333"/>
          <w:bdr w:val="none" w:sz="0" w:space="0" w:color="auto" w:frame="1"/>
        </w:rPr>
        <w:t>本办法所称广告发布者，是指为广告主、或者广告主委托的广告经营者发布广告的法人及其他经济组织。</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751EC">
        <w:rPr>
          <w:rFonts w:ascii="微软雅黑" w:eastAsia="微软雅黑" w:hAnsi="微软雅黑" w:hint="eastAsia"/>
          <w:b/>
          <w:bCs/>
          <w:color w:val="333333"/>
          <w:bdr w:val="none" w:sz="0" w:space="0" w:color="auto" w:frame="1"/>
        </w:rPr>
        <w:t>第三条</w:t>
      </w:r>
      <w:r w:rsidRPr="00C71BC5">
        <w:rPr>
          <w:rFonts w:ascii="微软雅黑" w:eastAsia="微软雅黑" w:hAnsi="微软雅黑" w:hint="eastAsia"/>
          <w:color w:val="333333"/>
          <w:bdr w:val="none" w:sz="0" w:space="0" w:color="auto" w:frame="1"/>
        </w:rPr>
        <w:t xml:space="preserve">　在广告设计、制作、发布过程中提供名义、形象及劳务并取得所得的</w:t>
      </w:r>
      <w:proofErr w:type="gramStart"/>
      <w:r w:rsidRPr="00C71BC5">
        <w:rPr>
          <w:rFonts w:ascii="微软雅黑" w:eastAsia="微软雅黑" w:hAnsi="微软雅黑" w:hint="eastAsia"/>
          <w:color w:val="333333"/>
          <w:bdr w:val="none" w:sz="0" w:space="0" w:color="auto" w:frame="1"/>
        </w:rPr>
        <w:t>个</w:t>
      </w:r>
      <w:proofErr w:type="gramEnd"/>
      <w:r w:rsidRPr="00C71BC5">
        <w:rPr>
          <w:rFonts w:ascii="微软雅黑" w:eastAsia="微软雅黑" w:hAnsi="微软雅黑" w:hint="eastAsia"/>
          <w:color w:val="333333"/>
          <w:bdr w:val="none" w:sz="0" w:space="0" w:color="auto" w:frame="1"/>
        </w:rPr>
        <w:t>人为个人所得税的纳税义务人（以下简称纳税人）；直接向上述个人支付所得的广告主、广告经营者、受托从事广告制作的单位和广告发布者为个人所得税的扣缴义务人（以下简称扣缴人）。</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751EC">
        <w:rPr>
          <w:rFonts w:ascii="微软雅黑" w:eastAsia="微软雅黑" w:hAnsi="微软雅黑" w:hint="eastAsia"/>
          <w:b/>
          <w:bCs/>
          <w:color w:val="333333"/>
          <w:bdr w:val="none" w:sz="0" w:space="0" w:color="auto" w:frame="1"/>
        </w:rPr>
        <w:t>第四条</w:t>
      </w:r>
      <w:r w:rsidRPr="00C71BC5">
        <w:rPr>
          <w:rFonts w:ascii="微软雅黑" w:eastAsia="微软雅黑" w:hAnsi="微软雅黑" w:hint="eastAsia"/>
          <w:color w:val="333333"/>
          <w:bdr w:val="none" w:sz="0" w:space="0" w:color="auto" w:frame="1"/>
        </w:rPr>
        <w:t xml:space="preserve">　扣缴人应当在每项广告制作前向所在地主管税务机关报告广告中名义、形象及劳务提供者的姓名、身份证号码（护照号码及国籍）、工作单位（户籍所在地）、电话号码以及支付报酬的标准和支付形式等情况。双方订立书面合同（协议）的，应同时将合同（协议）副本报送上述税务机关。</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71BC5">
        <w:rPr>
          <w:rFonts w:ascii="微软雅黑" w:eastAsia="微软雅黑" w:hAnsi="微软雅黑" w:hint="eastAsia"/>
          <w:color w:val="333333"/>
          <w:bdr w:val="none" w:sz="0" w:space="0" w:color="auto" w:frame="1"/>
        </w:rPr>
        <w:t>广告发布者应当定期向所在地主管税务机关报送当期发布广告的数量及其广告主、广告经营者的名单。</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751EC">
        <w:rPr>
          <w:rFonts w:ascii="微软雅黑" w:eastAsia="微软雅黑" w:hAnsi="微软雅黑" w:hint="eastAsia"/>
          <w:b/>
          <w:bCs/>
          <w:color w:val="333333"/>
          <w:bdr w:val="none" w:sz="0" w:space="0" w:color="auto" w:frame="1"/>
        </w:rPr>
        <w:t>第五条</w:t>
      </w:r>
      <w:r w:rsidRPr="00C71BC5">
        <w:rPr>
          <w:rFonts w:ascii="微软雅黑" w:eastAsia="微软雅黑" w:hAnsi="微软雅黑" w:hint="eastAsia"/>
          <w:color w:val="333333"/>
          <w:bdr w:val="none" w:sz="0" w:space="0" w:color="auto" w:frame="1"/>
        </w:rPr>
        <w:t xml:space="preserve">　纳税人在广告设计、制作、发布过程中提供名义、形象而取得的所得，应按劳务报酬所得项目计算纳税。</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71BC5">
        <w:rPr>
          <w:rFonts w:ascii="微软雅黑" w:eastAsia="微软雅黑" w:hAnsi="微软雅黑" w:hint="eastAsia"/>
          <w:color w:val="333333"/>
          <w:bdr w:val="none" w:sz="0" w:space="0" w:color="auto" w:frame="1"/>
        </w:rPr>
        <w:t>纳税人在广告设计、制作、发布过程中提供其他劳务取得的所得，视其情况分别按照税法规定的劳务报酬所得、稿酬所得、特许权使用费所得等应税项目计算纳税。</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71BC5">
        <w:rPr>
          <w:rFonts w:ascii="微软雅黑" w:eastAsia="微软雅黑" w:hAnsi="微软雅黑" w:hint="eastAsia"/>
          <w:color w:val="333333"/>
          <w:bdr w:val="none" w:sz="0" w:space="0" w:color="auto" w:frame="1"/>
        </w:rPr>
        <w:t>扣缴人的本单位人员在广告设计、制作、发布过程中取得的由本单位支付的所得，按工资、薪金所得项目计算纳税。</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751EC">
        <w:rPr>
          <w:rFonts w:ascii="微软雅黑" w:eastAsia="微软雅黑" w:hAnsi="微软雅黑" w:hint="eastAsia"/>
          <w:b/>
          <w:bCs/>
          <w:color w:val="333333"/>
          <w:bdr w:val="none" w:sz="0" w:space="0" w:color="auto" w:frame="1"/>
        </w:rPr>
        <w:t>第六条</w:t>
      </w:r>
      <w:r w:rsidRPr="00C71BC5">
        <w:rPr>
          <w:rFonts w:ascii="微软雅黑" w:eastAsia="微软雅黑" w:hAnsi="微软雅黑" w:hint="eastAsia"/>
          <w:color w:val="333333"/>
          <w:bdr w:val="none" w:sz="0" w:space="0" w:color="auto" w:frame="1"/>
        </w:rPr>
        <w:t xml:space="preserve">　纳税人以现金、实物和有价证券以外的其他形式取得所得，税务机关可以根据其所得的形式和价值，核定其应纳税所得额，据以征税。</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C71BC5">
        <w:rPr>
          <w:rFonts w:ascii="微软雅黑" w:eastAsia="微软雅黑" w:hAnsi="微软雅黑" w:hint="eastAsia"/>
          <w:color w:val="333333"/>
          <w:bdr w:val="none" w:sz="0" w:space="0" w:color="auto" w:frame="1"/>
        </w:rPr>
        <w:t>对于不能准确提供或划分个人在广告设计、制作、发布过程中提供名义、形象及劳务而取得的所得的纳税人，主管税务机关可以根据支付总额等实际情况，参照同类广告活动名义、形象及其他劳务提供者的所得标准，核定其应纳税所得额，据以征税。</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751EC">
        <w:rPr>
          <w:rFonts w:ascii="微软雅黑" w:eastAsia="微软雅黑" w:hAnsi="微软雅黑" w:hint="eastAsia"/>
          <w:b/>
          <w:bCs/>
          <w:color w:val="333333"/>
          <w:bdr w:val="none" w:sz="0" w:space="0" w:color="auto" w:frame="1"/>
        </w:rPr>
        <w:t>第七条</w:t>
      </w:r>
      <w:r w:rsidRPr="00C71BC5">
        <w:rPr>
          <w:rFonts w:ascii="微软雅黑" w:eastAsia="微软雅黑" w:hAnsi="微软雅黑" w:hint="eastAsia"/>
          <w:color w:val="333333"/>
          <w:bdr w:val="none" w:sz="0" w:space="0" w:color="auto" w:frame="1"/>
        </w:rPr>
        <w:t xml:space="preserve">　劳务报酬所得以纳税人</w:t>
      </w:r>
      <w:proofErr w:type="gramStart"/>
      <w:r w:rsidRPr="00C71BC5">
        <w:rPr>
          <w:rFonts w:ascii="微软雅黑" w:eastAsia="微软雅黑" w:hAnsi="微软雅黑" w:hint="eastAsia"/>
          <w:color w:val="333333"/>
          <w:bdr w:val="none" w:sz="0" w:space="0" w:color="auto" w:frame="1"/>
        </w:rPr>
        <w:t>每参与</w:t>
      </w:r>
      <w:proofErr w:type="gramEnd"/>
      <w:r w:rsidRPr="00C71BC5">
        <w:rPr>
          <w:rFonts w:ascii="微软雅黑" w:eastAsia="微软雅黑" w:hAnsi="微软雅黑" w:hint="eastAsia"/>
          <w:color w:val="333333"/>
          <w:bdr w:val="none" w:sz="0" w:space="0" w:color="auto" w:frame="1"/>
        </w:rPr>
        <w:t>一项广告的设计、制作、发布所取得的所得为一次；稿酬所得以在图书、报刊上发布一项广告时使用其作品而取得的所得为一次；特许权使用费所得以提供一项特许权在一项广告的设计、制作、发布过程中使用而取得的所得为一次。上述所得，采取分笔支付的，应合并为一次所得计算纳税。</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751EC">
        <w:rPr>
          <w:rFonts w:ascii="微软雅黑" w:eastAsia="微软雅黑" w:hAnsi="微软雅黑" w:hint="eastAsia"/>
          <w:b/>
          <w:bCs/>
          <w:color w:val="333333"/>
          <w:bdr w:val="none" w:sz="0" w:space="0" w:color="auto" w:frame="1"/>
        </w:rPr>
        <w:t>第八条</w:t>
      </w:r>
      <w:r w:rsidRPr="00C71BC5">
        <w:rPr>
          <w:rFonts w:ascii="微软雅黑" w:eastAsia="微软雅黑" w:hAnsi="微软雅黑" w:hint="eastAsia"/>
          <w:color w:val="333333"/>
          <w:bdr w:val="none" w:sz="0" w:space="0" w:color="auto" w:frame="1"/>
        </w:rPr>
        <w:t xml:space="preserve">　分笔取得一次所得和扣缴人应扣未扣或少扣税款以及没有扣缴人的纳税人，应当于取得所得的月度终了后七日内，向扣缴人所在地主管税务机关自行申报纳税。</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751EC">
        <w:rPr>
          <w:rFonts w:ascii="微软雅黑" w:eastAsia="微软雅黑" w:hAnsi="微软雅黑" w:hint="eastAsia"/>
          <w:b/>
          <w:bCs/>
          <w:color w:val="333333"/>
          <w:bdr w:val="none" w:sz="0" w:space="0" w:color="auto" w:frame="1"/>
        </w:rPr>
        <w:t>第九条</w:t>
      </w:r>
      <w:r w:rsidRPr="00C71BC5">
        <w:rPr>
          <w:rFonts w:ascii="微软雅黑" w:eastAsia="微软雅黑" w:hAnsi="微软雅黑" w:hint="eastAsia"/>
          <w:color w:val="333333"/>
          <w:bdr w:val="none" w:sz="0" w:space="0" w:color="auto" w:frame="1"/>
        </w:rPr>
        <w:t xml:space="preserve">　扣缴人和纳税人必须接受税务机关依法进行的税务检查，如实反映情况，提供有关资料，不得拒绝、隐瞒。</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751EC">
        <w:rPr>
          <w:rFonts w:ascii="微软雅黑" w:eastAsia="微软雅黑" w:hAnsi="微软雅黑" w:hint="eastAsia"/>
          <w:b/>
          <w:bCs/>
          <w:color w:val="333333"/>
          <w:bdr w:val="none" w:sz="0" w:space="0" w:color="auto" w:frame="1"/>
        </w:rPr>
        <w:t>第十条</w:t>
      </w:r>
      <w:r w:rsidRPr="00C71BC5">
        <w:rPr>
          <w:rFonts w:ascii="微软雅黑" w:eastAsia="微软雅黑" w:hAnsi="微软雅黑" w:hint="eastAsia"/>
          <w:color w:val="333333"/>
          <w:bdr w:val="none" w:sz="0" w:space="0" w:color="auto" w:frame="1"/>
        </w:rPr>
        <w:t xml:space="preserve">　本办法未尽事宜，按照有关税收法律、行政法规的规定执行。</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751EC">
        <w:rPr>
          <w:rFonts w:ascii="微软雅黑" w:eastAsia="微软雅黑" w:hAnsi="微软雅黑" w:hint="eastAsia"/>
          <w:b/>
          <w:bCs/>
          <w:color w:val="333333"/>
          <w:bdr w:val="none" w:sz="0" w:space="0" w:color="auto" w:frame="1"/>
        </w:rPr>
        <w:t>第十一条</w:t>
      </w:r>
      <w:r w:rsidRPr="00C71BC5">
        <w:rPr>
          <w:rFonts w:ascii="微软雅黑" w:eastAsia="微软雅黑" w:hAnsi="微软雅黑" w:hint="eastAsia"/>
          <w:color w:val="333333"/>
          <w:bdr w:val="none" w:sz="0" w:space="0" w:color="auto" w:frame="1"/>
        </w:rPr>
        <w:t xml:space="preserve">　各省、自治区、直辖市税务局可以根据本办法规定的原则，结合本地实际，制定具体实施办法，并报国家税务总局备案。</w:t>
      </w:r>
    </w:p>
    <w:p w:rsidR="00315F6F"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751EC">
        <w:rPr>
          <w:rFonts w:ascii="微软雅黑" w:eastAsia="微软雅黑" w:hAnsi="微软雅黑" w:hint="eastAsia"/>
          <w:b/>
          <w:bCs/>
          <w:color w:val="333333"/>
          <w:bdr w:val="none" w:sz="0" w:space="0" w:color="auto" w:frame="1"/>
        </w:rPr>
        <w:t>第十二条</w:t>
      </w:r>
      <w:r w:rsidRPr="00C71BC5">
        <w:rPr>
          <w:rFonts w:ascii="微软雅黑" w:eastAsia="微软雅黑" w:hAnsi="微软雅黑" w:hint="eastAsia"/>
          <w:color w:val="333333"/>
          <w:bdr w:val="none" w:sz="0" w:space="0" w:color="auto" w:frame="1"/>
        </w:rPr>
        <w:t xml:space="preserve">　本办法由国家税务总局负责解释。</w:t>
      </w:r>
    </w:p>
    <w:p w:rsidR="00F34711" w:rsidRPr="00C71BC5" w:rsidRDefault="00315F6F" w:rsidP="00C71BC5">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5751EC">
        <w:rPr>
          <w:rFonts w:ascii="微软雅黑" w:eastAsia="微软雅黑" w:hAnsi="微软雅黑" w:hint="eastAsia"/>
          <w:b/>
          <w:bCs/>
          <w:color w:val="333333"/>
          <w:bdr w:val="none" w:sz="0" w:space="0" w:color="auto" w:frame="1"/>
        </w:rPr>
        <w:t>第十三条</w:t>
      </w:r>
      <w:r w:rsidRPr="00C71BC5">
        <w:rPr>
          <w:rFonts w:ascii="微软雅黑" w:eastAsia="微软雅黑" w:hAnsi="微软雅黑" w:hint="eastAsia"/>
          <w:color w:val="333333"/>
          <w:bdr w:val="none" w:sz="0" w:space="0" w:color="auto" w:frame="1"/>
        </w:rPr>
        <w:t xml:space="preserve">　本办法自1996年9月1日起执行。</w:t>
      </w:r>
    </w:p>
    <w:sectPr w:rsidR="00F34711" w:rsidRPr="00C71BC5" w:rsidSect="00C71BC5">
      <w:pgSz w:w="11906" w:h="16838"/>
      <w:pgMar w:top="720" w:right="720" w:bottom="720" w:left="720" w:header="283"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9EE" w:rsidRDefault="007C29EE" w:rsidP="00C71BC5">
      <w:r>
        <w:separator/>
      </w:r>
    </w:p>
  </w:endnote>
  <w:endnote w:type="continuationSeparator" w:id="0">
    <w:p w:rsidR="007C29EE" w:rsidRDefault="007C29EE" w:rsidP="00C7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9EE" w:rsidRDefault="007C29EE" w:rsidP="00C71BC5">
      <w:r>
        <w:separator/>
      </w:r>
    </w:p>
  </w:footnote>
  <w:footnote w:type="continuationSeparator" w:id="0">
    <w:p w:rsidR="007C29EE" w:rsidRDefault="007C29EE" w:rsidP="00C71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6F"/>
    <w:rsid w:val="00315F6F"/>
    <w:rsid w:val="005751EC"/>
    <w:rsid w:val="007C29EE"/>
    <w:rsid w:val="00C71BC5"/>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3E49"/>
  <w15:chartTrackingRefBased/>
  <w15:docId w15:val="{B18078CA-855A-471B-8402-C93D202E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5F6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C71BC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71BC5"/>
    <w:rPr>
      <w:sz w:val="18"/>
      <w:szCs w:val="18"/>
    </w:rPr>
  </w:style>
  <w:style w:type="paragraph" w:styleId="a6">
    <w:name w:val="footer"/>
    <w:basedOn w:val="a"/>
    <w:link w:val="a7"/>
    <w:uiPriority w:val="99"/>
    <w:unhideWhenUsed/>
    <w:rsid w:val="00C71BC5"/>
    <w:pPr>
      <w:tabs>
        <w:tab w:val="center" w:pos="4153"/>
        <w:tab w:val="right" w:pos="8306"/>
      </w:tabs>
      <w:snapToGrid w:val="0"/>
      <w:jc w:val="left"/>
    </w:pPr>
    <w:rPr>
      <w:sz w:val="18"/>
      <w:szCs w:val="18"/>
    </w:rPr>
  </w:style>
  <w:style w:type="character" w:customStyle="1" w:styleId="a7">
    <w:name w:val="页脚 字符"/>
    <w:basedOn w:val="a0"/>
    <w:link w:val="a6"/>
    <w:uiPriority w:val="99"/>
    <w:rsid w:val="00C71B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1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2025-09-21T14:41:00Z</dcterms:created>
  <dcterms:modified xsi:type="dcterms:W3CDTF">2025-09-22T04:41:00Z</dcterms:modified>
</cp:coreProperties>
</file>